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1807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Король Е.П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городские электрические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Бахтияровой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</w:t>
      </w:r>
      <w:r>
        <w:rPr>
          <w:rFonts w:ascii="Times New Roman" w:eastAsia="Times New Roman" w:hAnsi="Times New Roman" w:cs="Times New Roman"/>
          <w:sz w:val="28"/>
          <w:szCs w:val="28"/>
        </w:rPr>
        <w:t>Алиевне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городские электрические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Бахтияровой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городские электрические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18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>) задолженность по оплате коммунальной услуги за период с 01.01.2024 года по 30.06.2024 года, с 01.08.2024 года по 30.09.2024 года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675,95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за просрочку оплаты, начисленные за период просрочки с 13.02.2024 года по 16.10.2024 года в размере 793,10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их начислением на сумму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675,95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 </w:t>
      </w:r>
    </w:p>
    <w:p>
      <w:pPr>
        <w:spacing w:before="0" w:after="0"/>
        <w:ind w:firstLine="567"/>
        <w:jc w:val="both"/>
      </w:pPr>
      <w:r>
        <w:rPr>
          <w:rStyle w:val="cat-UserDefinedgrp-23rplc-28"/>
          <w:rFonts w:ascii="Times New Roman" w:eastAsia="Times New Roman" w:hAnsi="Times New Roman" w:cs="Times New Roman"/>
        </w:rPr>
        <w:t>.******..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3019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ExternalSystemDefinedgrp-20rplc-9">
    <w:name w:val="cat-ExternalSystemDefined grp-20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PhoneNumbergrp-18rplc-12">
    <w:name w:val="cat-PhoneNumber grp-18 rplc-12"/>
    <w:basedOn w:val="DefaultParagraphFont"/>
  </w:style>
  <w:style w:type="character" w:customStyle="1" w:styleId="cat-PhoneNumbergrp-19rplc-13">
    <w:name w:val="cat-PhoneNumber grp-19 rplc-13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7BFE-A563-4731-B676-E5364BE6AD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